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6" w:rsidRPr="008B56CB" w:rsidRDefault="009A5426" w:rsidP="009A5426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8B56CB">
        <w:rPr>
          <w:rFonts w:ascii="Century Gothic" w:hAnsi="Century Gothic" w:cs="Arial"/>
          <w:b/>
          <w:sz w:val="24"/>
          <w:szCs w:val="24"/>
        </w:rPr>
        <w:t xml:space="preserve">Etude  expérimentale et théorique des molécules </w:t>
      </w:r>
      <w:proofErr w:type="spellStart"/>
      <w:r w:rsidRPr="008B56CB">
        <w:rPr>
          <w:rFonts w:ascii="Century Gothic" w:hAnsi="Century Gothic" w:cs="Arial"/>
          <w:b/>
          <w:sz w:val="24"/>
          <w:szCs w:val="24"/>
        </w:rPr>
        <w:t>prébiotique</w:t>
      </w:r>
      <w:proofErr w:type="spellEnd"/>
      <w:r w:rsidRPr="008B56CB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586FA5" w:rsidRPr="00586FA5" w:rsidRDefault="00586FA5" w:rsidP="00586F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6FA5">
        <w:rPr>
          <w:rFonts w:ascii="Century Gothic" w:hAnsi="Century Gothic" w:cs="Arial"/>
          <w:sz w:val="20"/>
          <w:szCs w:val="20"/>
        </w:rPr>
        <w:t>A. Bellili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1</w:t>
      </w:r>
      <w:r w:rsidRPr="00586FA5">
        <w:rPr>
          <w:rFonts w:ascii="Century Gothic" w:hAnsi="Century Gothic" w:cs="Arial"/>
          <w:sz w:val="20"/>
          <w:szCs w:val="20"/>
        </w:rPr>
        <w:t>, M. Hochlaf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1</w:t>
      </w:r>
      <w:r w:rsidRPr="00586FA5">
        <w:rPr>
          <w:rFonts w:ascii="Century Gothic" w:hAnsi="Century Gothic" w:cs="Arial"/>
          <w:sz w:val="20"/>
          <w:szCs w:val="20"/>
        </w:rPr>
        <w:t>, M. Schwell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, Y. Bénilan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, N. Fray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, M.-C. Gazeau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, L. Poisson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3</w:t>
      </w:r>
      <w:r w:rsidRPr="00586FA5">
        <w:rPr>
          <w:rFonts w:ascii="Century Gothic" w:hAnsi="Century Gothic" w:cs="Arial"/>
          <w:sz w:val="20"/>
          <w:szCs w:val="20"/>
        </w:rPr>
        <w:t>, J.-C. Guillemin</w:t>
      </w:r>
      <w:r w:rsidRPr="00586FA5">
        <w:rPr>
          <w:rFonts w:ascii="Century Gothic" w:hAnsi="Century Gothic" w:cs="Arial"/>
          <w:sz w:val="20"/>
          <w:szCs w:val="20"/>
          <w:vertAlign w:val="superscript"/>
        </w:rPr>
        <w:t>4</w:t>
      </w:r>
    </w:p>
    <w:p w:rsidR="00586FA5" w:rsidRPr="00586FA5" w:rsidRDefault="00586FA5" w:rsidP="00586FA5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i/>
          <w:sz w:val="20"/>
          <w:szCs w:val="20"/>
          <w:vertAlign w:val="superscript"/>
        </w:rPr>
        <w:t xml:space="preserve">1 </w:t>
      </w:r>
      <w:r w:rsidRPr="00586FA5">
        <w:rPr>
          <w:rFonts w:ascii="Century Gothic" w:hAnsi="Century Gothic" w:cs="Arial"/>
          <w:i/>
          <w:sz w:val="20"/>
          <w:szCs w:val="20"/>
        </w:rPr>
        <w:t>Université Paris-Est, Laboratoire Modélisation et Simulation Multi Echelle, MSME UMR 8208 CNRS, 5 bd Descartes, 77454 Marne-la-Vallée, FRANCE.</w:t>
      </w:r>
    </w:p>
    <w:p w:rsidR="000B4504" w:rsidRDefault="00586FA5" w:rsidP="00586FA5">
      <w:pPr>
        <w:tabs>
          <w:tab w:val="left" w:pos="705"/>
          <w:tab w:val="center" w:pos="4536"/>
        </w:tabs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i/>
          <w:sz w:val="20"/>
          <w:szCs w:val="20"/>
          <w:vertAlign w:val="superscript"/>
        </w:rPr>
        <w:t xml:space="preserve">2 </w:t>
      </w:r>
      <w:r w:rsidRPr="00586FA5">
        <w:rPr>
          <w:rFonts w:ascii="Century Gothic" w:hAnsi="Century Gothic" w:cs="Arial"/>
          <w:i/>
          <w:sz w:val="20"/>
          <w:szCs w:val="20"/>
        </w:rPr>
        <w:t xml:space="preserve">Laboratoire Interuniversitaire des Systèmes Atmosphériques (LISA), UMR CNRS 7583, Université </w:t>
      </w:r>
    </w:p>
    <w:p w:rsidR="00586FA5" w:rsidRPr="00586FA5" w:rsidRDefault="00586FA5" w:rsidP="00586FA5">
      <w:pPr>
        <w:tabs>
          <w:tab w:val="left" w:pos="705"/>
          <w:tab w:val="center" w:pos="4536"/>
        </w:tabs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i/>
          <w:sz w:val="20"/>
          <w:szCs w:val="20"/>
        </w:rPr>
        <w:t>Paris Est Créteil and Université Paris Diderot, Institut Pierre Simon Laplace, 61 Avenue du Général de Gaulle, 94010 Créteil, FRANCE</w:t>
      </w:r>
    </w:p>
    <w:p w:rsidR="00586FA5" w:rsidRPr="00586FA5" w:rsidRDefault="00586FA5" w:rsidP="00586FA5">
      <w:pPr>
        <w:tabs>
          <w:tab w:val="left" w:pos="705"/>
          <w:tab w:val="center" w:pos="4536"/>
        </w:tabs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i/>
          <w:sz w:val="20"/>
          <w:szCs w:val="20"/>
          <w:vertAlign w:val="superscript"/>
        </w:rPr>
        <w:t xml:space="preserve">3 </w:t>
      </w:r>
      <w:r w:rsidRPr="00586FA5">
        <w:rPr>
          <w:rFonts w:ascii="Century Gothic" w:hAnsi="Century Gothic" w:cs="Arial"/>
          <w:i/>
          <w:sz w:val="20"/>
          <w:szCs w:val="20"/>
        </w:rPr>
        <w:t>CNRS, IRAMIS, SPAM, Laboratoire Francis Perrin, URA 2453, F-91191 Gif-sur-Yvette, France. CEA, IRAMIS, SPAM, Laboratoire Francis Perrin, URA 2453, F-91191 Gif-sur-Yvette, FRANCE.</w:t>
      </w:r>
    </w:p>
    <w:p w:rsidR="00586FA5" w:rsidRDefault="00586FA5" w:rsidP="00B358DC">
      <w:pPr>
        <w:tabs>
          <w:tab w:val="left" w:pos="705"/>
          <w:tab w:val="center" w:pos="4536"/>
        </w:tabs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i/>
          <w:sz w:val="20"/>
          <w:szCs w:val="20"/>
          <w:vertAlign w:val="superscript"/>
        </w:rPr>
        <w:t xml:space="preserve">4 </w:t>
      </w:r>
      <w:r w:rsidRPr="00586FA5">
        <w:rPr>
          <w:rFonts w:ascii="Century Gothic" w:hAnsi="Century Gothic" w:cs="Arial"/>
          <w:i/>
          <w:sz w:val="20"/>
          <w:szCs w:val="20"/>
        </w:rPr>
        <w:t>Equipe Chimie Organique et Supramoléculaire Sciences Chimiques de Rennes, UMR 6226 Ecole Nationale Supérieure de Chimie de Rennes CS 50837, 35708 Rennes, FRANCE.</w:t>
      </w:r>
    </w:p>
    <w:p w:rsidR="00B358DC" w:rsidRPr="00B358DC" w:rsidRDefault="00B358DC" w:rsidP="00B358DC">
      <w:pPr>
        <w:tabs>
          <w:tab w:val="left" w:pos="705"/>
          <w:tab w:val="center" w:pos="4536"/>
        </w:tabs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EA06C0" w:rsidRPr="00586FA5" w:rsidRDefault="00855552" w:rsidP="005C5680">
      <w:pPr>
        <w:spacing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586FA5">
        <w:rPr>
          <w:rFonts w:ascii="Century Gothic" w:hAnsi="Century Gothic" w:cs="Arial"/>
          <w:sz w:val="20"/>
          <w:szCs w:val="20"/>
        </w:rPr>
        <w:t>Dans ce travail</w:t>
      </w:r>
      <w:r w:rsidR="009B5190" w:rsidRPr="00586FA5">
        <w:rPr>
          <w:rFonts w:ascii="Century Gothic" w:hAnsi="Century Gothic" w:cs="Arial"/>
          <w:sz w:val="20"/>
          <w:szCs w:val="20"/>
        </w:rPr>
        <w:t xml:space="preserve"> nous nous somme</w:t>
      </w:r>
      <w:r w:rsidR="001C5566" w:rsidRPr="00586FA5">
        <w:rPr>
          <w:rFonts w:ascii="Century Gothic" w:hAnsi="Century Gothic" w:cs="Arial"/>
          <w:sz w:val="20"/>
          <w:szCs w:val="20"/>
        </w:rPr>
        <w:t>s</w:t>
      </w:r>
      <w:r w:rsidR="009B5190" w:rsidRPr="00586FA5">
        <w:rPr>
          <w:rFonts w:ascii="Century Gothic" w:hAnsi="Century Gothic" w:cs="Arial"/>
          <w:sz w:val="20"/>
          <w:szCs w:val="20"/>
        </w:rPr>
        <w:t xml:space="preserve"> intéressé</w:t>
      </w:r>
      <w:r w:rsidR="001C5566" w:rsidRPr="00586FA5">
        <w:rPr>
          <w:rFonts w:ascii="Century Gothic" w:hAnsi="Century Gothic" w:cs="Arial"/>
          <w:sz w:val="20"/>
          <w:szCs w:val="20"/>
        </w:rPr>
        <w:t>s à</w:t>
      </w:r>
      <w:r w:rsidR="009B5190" w:rsidRPr="00586FA5">
        <w:rPr>
          <w:rFonts w:ascii="Century Gothic" w:hAnsi="Century Gothic" w:cs="Arial"/>
          <w:sz w:val="20"/>
          <w:szCs w:val="20"/>
        </w:rPr>
        <w:t xml:space="preserve"> l’</w:t>
      </w:r>
      <w:r w:rsidR="005F274B" w:rsidRPr="00586FA5">
        <w:rPr>
          <w:rFonts w:ascii="Century Gothic" w:hAnsi="Century Gothic" w:cs="Arial"/>
          <w:sz w:val="20"/>
          <w:szCs w:val="20"/>
        </w:rPr>
        <w:t>étude</w:t>
      </w:r>
      <w:r w:rsidR="009B5190" w:rsidRPr="00586FA5">
        <w:rPr>
          <w:rFonts w:ascii="Century Gothic" w:hAnsi="Century Gothic" w:cs="Arial"/>
          <w:sz w:val="20"/>
          <w:szCs w:val="20"/>
        </w:rPr>
        <w:t xml:space="preserve"> théorique et </w:t>
      </w:r>
      <w:r w:rsidR="005F274B" w:rsidRPr="00586FA5">
        <w:rPr>
          <w:rFonts w:ascii="Century Gothic" w:hAnsi="Century Gothic" w:cs="Arial"/>
          <w:sz w:val="20"/>
          <w:szCs w:val="20"/>
        </w:rPr>
        <w:t>expérimentale</w:t>
      </w:r>
      <w:r w:rsidR="009B5190" w:rsidRPr="00586FA5">
        <w:rPr>
          <w:rFonts w:ascii="Century Gothic" w:hAnsi="Century Gothic" w:cs="Arial"/>
          <w:sz w:val="20"/>
          <w:szCs w:val="20"/>
        </w:rPr>
        <w:t xml:space="preserve"> des deux molécules, </w:t>
      </w:r>
      <w:proofErr w:type="spellStart"/>
      <w:r w:rsidR="009B5190" w:rsidRPr="00586FA5">
        <w:rPr>
          <w:rFonts w:ascii="Century Gothic" w:hAnsi="Century Gothic" w:cs="Arial"/>
          <w:sz w:val="20"/>
          <w:szCs w:val="20"/>
        </w:rPr>
        <w:t>Pyruvonitrile</w:t>
      </w:r>
      <w:proofErr w:type="spellEnd"/>
      <w:r w:rsidR="00125421" w:rsidRPr="00586FA5">
        <w:rPr>
          <w:rFonts w:ascii="Century Gothic" w:hAnsi="Century Gothic" w:cs="Arial"/>
          <w:sz w:val="20"/>
          <w:szCs w:val="20"/>
        </w:rPr>
        <w:t xml:space="preserve"> (NC-C(O)</w:t>
      </w:r>
      <w:r w:rsidRPr="00586FA5">
        <w:rPr>
          <w:rFonts w:ascii="Century Gothic" w:hAnsi="Century Gothic" w:cs="Arial"/>
          <w:sz w:val="20"/>
          <w:szCs w:val="20"/>
        </w:rPr>
        <w:t xml:space="preserve"> </w:t>
      </w:r>
      <w:r w:rsidR="00125421" w:rsidRPr="00586FA5">
        <w:rPr>
          <w:rFonts w:ascii="Century Gothic" w:hAnsi="Century Gothic" w:cs="Arial"/>
          <w:sz w:val="20"/>
          <w:szCs w:val="20"/>
        </w:rPr>
        <w:t>CH</w:t>
      </w:r>
      <w:r w:rsidR="00125421" w:rsidRPr="00586FA5">
        <w:rPr>
          <w:rFonts w:ascii="Century Gothic" w:hAnsi="Century Gothic" w:cs="Arial"/>
          <w:sz w:val="20"/>
          <w:szCs w:val="20"/>
          <w:vertAlign w:val="subscript"/>
        </w:rPr>
        <w:t>3</w:t>
      </w:r>
      <w:r w:rsidR="00125421" w:rsidRPr="00586FA5">
        <w:rPr>
          <w:rFonts w:ascii="Century Gothic" w:hAnsi="Century Gothic" w:cs="Arial"/>
          <w:sz w:val="20"/>
          <w:szCs w:val="20"/>
        </w:rPr>
        <w:t xml:space="preserve">)  et </w:t>
      </w:r>
      <w:proofErr w:type="spellStart"/>
      <w:r w:rsidR="00125421" w:rsidRPr="00586FA5">
        <w:rPr>
          <w:rFonts w:ascii="Century Gothic" w:hAnsi="Century Gothic" w:cs="Arial"/>
          <w:sz w:val="20"/>
          <w:szCs w:val="20"/>
        </w:rPr>
        <w:t>A</w:t>
      </w:r>
      <w:r w:rsidR="009B5190" w:rsidRPr="00586FA5">
        <w:rPr>
          <w:rFonts w:ascii="Century Gothic" w:hAnsi="Century Gothic" w:cs="Arial"/>
          <w:sz w:val="20"/>
          <w:szCs w:val="20"/>
        </w:rPr>
        <w:t>mino</w:t>
      </w:r>
      <w:r w:rsidR="00125421" w:rsidRPr="00586FA5">
        <w:rPr>
          <w:rFonts w:ascii="Century Gothic" w:hAnsi="Century Gothic" w:cs="Arial"/>
          <w:sz w:val="20"/>
          <w:szCs w:val="20"/>
        </w:rPr>
        <w:t>a</w:t>
      </w:r>
      <w:r w:rsidR="009B5190" w:rsidRPr="00586FA5">
        <w:rPr>
          <w:rFonts w:ascii="Century Gothic" w:hAnsi="Century Gothic" w:cs="Arial"/>
          <w:sz w:val="20"/>
          <w:szCs w:val="20"/>
        </w:rPr>
        <w:t>cétonitrile</w:t>
      </w:r>
      <w:proofErr w:type="spellEnd"/>
      <w:r w:rsidR="008045B1" w:rsidRPr="00586FA5">
        <w:rPr>
          <w:rFonts w:ascii="Century Gothic" w:hAnsi="Century Gothic" w:cs="Arial"/>
          <w:sz w:val="20"/>
          <w:szCs w:val="20"/>
        </w:rPr>
        <w:t xml:space="preserve"> </w:t>
      </w:r>
      <w:r w:rsidR="00125421" w:rsidRPr="00586FA5">
        <w:rPr>
          <w:rFonts w:ascii="Century Gothic" w:hAnsi="Century Gothic" w:cs="Arial"/>
          <w:sz w:val="20"/>
          <w:szCs w:val="20"/>
        </w:rPr>
        <w:t>(H</w:t>
      </w:r>
      <w:r w:rsidR="00125421" w:rsidRPr="00586FA5">
        <w:rPr>
          <w:rFonts w:ascii="Century Gothic" w:hAnsi="Century Gothic" w:cs="Arial"/>
          <w:sz w:val="20"/>
          <w:szCs w:val="20"/>
          <w:vertAlign w:val="subscript"/>
        </w:rPr>
        <w:t>2</w:t>
      </w:r>
      <w:r w:rsidR="00125421" w:rsidRPr="00586FA5">
        <w:rPr>
          <w:rFonts w:ascii="Century Gothic" w:hAnsi="Century Gothic" w:cs="Arial"/>
          <w:sz w:val="20"/>
          <w:szCs w:val="20"/>
        </w:rPr>
        <w:t>N-CH</w:t>
      </w:r>
      <w:r w:rsidR="00125421" w:rsidRPr="00586FA5">
        <w:rPr>
          <w:rFonts w:ascii="Century Gothic" w:hAnsi="Century Gothic" w:cs="Arial"/>
          <w:sz w:val="20"/>
          <w:szCs w:val="20"/>
          <w:vertAlign w:val="subscript"/>
        </w:rPr>
        <w:t>2</w:t>
      </w:r>
      <w:r w:rsidR="00125421" w:rsidRPr="00586FA5">
        <w:rPr>
          <w:rFonts w:ascii="Century Gothic" w:hAnsi="Century Gothic" w:cs="Arial"/>
          <w:sz w:val="20"/>
          <w:szCs w:val="20"/>
        </w:rPr>
        <w:t>CN)</w:t>
      </w:r>
      <w:r w:rsidR="001C5566" w:rsidRPr="00586FA5">
        <w:rPr>
          <w:rFonts w:ascii="Century Gothic" w:hAnsi="Century Gothic" w:cs="Arial"/>
          <w:sz w:val="20"/>
          <w:szCs w:val="20"/>
        </w:rPr>
        <w:t xml:space="preserve"> [1]</w:t>
      </w:r>
      <w:r w:rsidR="00125421" w:rsidRPr="00586FA5">
        <w:rPr>
          <w:rFonts w:ascii="Century Gothic" w:hAnsi="Century Gothic" w:cs="Arial"/>
          <w:sz w:val="20"/>
          <w:szCs w:val="20"/>
        </w:rPr>
        <w:t>.</w:t>
      </w:r>
    </w:p>
    <w:p w:rsidR="005F675C" w:rsidRDefault="00125421" w:rsidP="005C568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6FA5">
        <w:rPr>
          <w:rFonts w:ascii="Century Gothic" w:hAnsi="Century Gothic" w:cs="Arial"/>
          <w:sz w:val="20"/>
          <w:szCs w:val="20"/>
        </w:rPr>
        <w:t>Ces deux molécules ont un intérêt</w:t>
      </w:r>
      <w:r w:rsidR="006C0141" w:rsidRPr="00586FA5">
        <w:rPr>
          <w:rFonts w:ascii="Century Gothic" w:hAnsi="Century Gothic" w:cs="Arial"/>
          <w:sz w:val="20"/>
          <w:szCs w:val="20"/>
        </w:rPr>
        <w:t xml:space="preserve"> astrophysique</w:t>
      </w:r>
      <w:r w:rsidRPr="00586FA5">
        <w:rPr>
          <w:rFonts w:ascii="Century Gothic" w:hAnsi="Century Gothic" w:cs="Arial"/>
          <w:sz w:val="20"/>
          <w:szCs w:val="20"/>
        </w:rPr>
        <w:t xml:space="preserve">, ces </w:t>
      </w:r>
      <w:r w:rsidR="006C0141" w:rsidRPr="00586FA5">
        <w:rPr>
          <w:rFonts w:ascii="Century Gothic" w:hAnsi="Century Gothic" w:cs="Arial"/>
          <w:sz w:val="20"/>
          <w:szCs w:val="20"/>
        </w:rPr>
        <w:t xml:space="preserve">derniers sont </w:t>
      </w:r>
      <w:r w:rsidR="008D4D2B" w:rsidRPr="00586FA5">
        <w:rPr>
          <w:rFonts w:ascii="Century Gothic" w:hAnsi="Century Gothic" w:cs="Arial"/>
          <w:sz w:val="20"/>
          <w:szCs w:val="20"/>
        </w:rPr>
        <w:t>inspirés</w:t>
      </w:r>
      <w:r w:rsidR="006C0141" w:rsidRPr="00586FA5">
        <w:rPr>
          <w:rFonts w:ascii="Century Gothic" w:hAnsi="Century Gothic" w:cs="Arial"/>
          <w:sz w:val="20"/>
          <w:szCs w:val="20"/>
        </w:rPr>
        <w:t xml:space="preserve"> de la réa</w:t>
      </w:r>
      <w:r w:rsidR="00E166B8" w:rsidRPr="00586FA5">
        <w:rPr>
          <w:rFonts w:ascii="Century Gothic" w:hAnsi="Century Gothic" w:cs="Arial"/>
          <w:sz w:val="20"/>
          <w:szCs w:val="20"/>
        </w:rPr>
        <w:t xml:space="preserve">ction de </w:t>
      </w:r>
      <w:proofErr w:type="spellStart"/>
      <w:r w:rsidR="00E166B8" w:rsidRPr="00586FA5">
        <w:rPr>
          <w:rFonts w:ascii="Century Gothic" w:hAnsi="Century Gothic" w:cs="Arial"/>
          <w:sz w:val="20"/>
          <w:szCs w:val="20"/>
        </w:rPr>
        <w:t>Streker</w:t>
      </w:r>
      <w:proofErr w:type="spellEnd"/>
      <w:r w:rsidR="00E166B8" w:rsidRPr="00586FA5">
        <w:rPr>
          <w:rFonts w:ascii="Century Gothic" w:hAnsi="Century Gothic" w:cs="Arial"/>
          <w:sz w:val="20"/>
          <w:szCs w:val="20"/>
        </w:rPr>
        <w:t xml:space="preserve"> [2</w:t>
      </w:r>
      <w:r w:rsidR="006C0141" w:rsidRPr="00586FA5">
        <w:rPr>
          <w:rFonts w:ascii="Century Gothic" w:hAnsi="Century Gothic" w:cs="Arial"/>
          <w:sz w:val="20"/>
          <w:szCs w:val="20"/>
        </w:rPr>
        <w:t xml:space="preserve">] qui </w:t>
      </w:r>
      <w:r w:rsidR="00B9453C" w:rsidRPr="00586FA5">
        <w:rPr>
          <w:rFonts w:ascii="Century Gothic" w:hAnsi="Century Gothic" w:cs="Arial"/>
          <w:sz w:val="20"/>
          <w:szCs w:val="20"/>
        </w:rPr>
        <w:t>est à l’origine d’un scénario réaliste de formation d’acides aminés dans des conditions interstellaires</w:t>
      </w:r>
      <w:r w:rsidR="005F675C">
        <w:rPr>
          <w:rFonts w:ascii="Century Gothic" w:hAnsi="Century Gothic" w:cs="Arial"/>
          <w:sz w:val="20"/>
          <w:szCs w:val="20"/>
        </w:rPr>
        <w:t>.</w:t>
      </w:r>
    </w:p>
    <w:p w:rsidR="00EA17B5" w:rsidRPr="00586FA5" w:rsidRDefault="00B9453C" w:rsidP="005C568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6FA5">
        <w:rPr>
          <w:rFonts w:ascii="Century Gothic" w:hAnsi="Century Gothic" w:cs="Arial"/>
          <w:sz w:val="20"/>
          <w:szCs w:val="20"/>
        </w:rPr>
        <w:t xml:space="preserve">Dans la premier partie de cette </w:t>
      </w:r>
      <w:r w:rsidR="006F58D8" w:rsidRPr="00586FA5">
        <w:rPr>
          <w:rFonts w:ascii="Century Gothic" w:hAnsi="Century Gothic" w:cs="Arial"/>
          <w:sz w:val="20"/>
          <w:szCs w:val="20"/>
        </w:rPr>
        <w:t>étude</w:t>
      </w:r>
      <w:r w:rsidRPr="00586FA5">
        <w:rPr>
          <w:rFonts w:ascii="Century Gothic" w:hAnsi="Century Gothic" w:cs="Arial"/>
          <w:sz w:val="20"/>
          <w:szCs w:val="20"/>
        </w:rPr>
        <w:t xml:space="preserve"> nous avons mesuré les spectres de </w:t>
      </w:r>
      <w:proofErr w:type="spellStart"/>
      <w:r w:rsidRPr="00586FA5">
        <w:rPr>
          <w:rFonts w:ascii="Century Gothic" w:hAnsi="Century Gothic" w:cs="Arial"/>
          <w:sz w:val="20"/>
          <w:szCs w:val="20"/>
        </w:rPr>
        <w:t>photoionisation</w:t>
      </w:r>
      <w:proofErr w:type="spellEnd"/>
      <w:r w:rsidRPr="00586FA5">
        <w:rPr>
          <w:rFonts w:ascii="Century Gothic" w:hAnsi="Century Gothic" w:cs="Arial"/>
          <w:sz w:val="20"/>
          <w:szCs w:val="20"/>
        </w:rPr>
        <w:t xml:space="preserve">  des deux molécules </w:t>
      </w:r>
      <w:proofErr w:type="spellStart"/>
      <w:r w:rsidRPr="00586FA5">
        <w:rPr>
          <w:rFonts w:ascii="Century Gothic" w:hAnsi="Century Gothic" w:cs="Arial"/>
          <w:sz w:val="20"/>
          <w:szCs w:val="20"/>
        </w:rPr>
        <w:t>Pyruvonitrile</w:t>
      </w:r>
      <w:proofErr w:type="spellEnd"/>
      <w:r w:rsidRPr="00586FA5">
        <w:rPr>
          <w:rFonts w:ascii="Century Gothic" w:hAnsi="Century Gothic" w:cs="Arial"/>
          <w:sz w:val="20"/>
          <w:szCs w:val="20"/>
        </w:rPr>
        <w:t xml:space="preserve"> (NC-C(O)</w:t>
      </w:r>
      <w:r w:rsidR="000307E5" w:rsidRPr="00586FA5">
        <w:rPr>
          <w:rFonts w:ascii="Century Gothic" w:hAnsi="Century Gothic" w:cs="Arial"/>
          <w:sz w:val="20"/>
          <w:szCs w:val="20"/>
        </w:rPr>
        <w:t xml:space="preserve"> </w:t>
      </w:r>
      <w:r w:rsidRPr="00586FA5">
        <w:rPr>
          <w:rFonts w:ascii="Century Gothic" w:hAnsi="Century Gothic" w:cs="Arial"/>
          <w:sz w:val="20"/>
          <w:szCs w:val="20"/>
        </w:rPr>
        <w:t>CH</w:t>
      </w:r>
      <w:r w:rsidRPr="00586FA5">
        <w:rPr>
          <w:rFonts w:ascii="Century Gothic" w:hAnsi="Century Gothic" w:cs="Arial"/>
          <w:sz w:val="20"/>
          <w:szCs w:val="20"/>
          <w:vertAlign w:val="subscript"/>
        </w:rPr>
        <w:t>3</w:t>
      </w:r>
      <w:r w:rsidRPr="00586FA5">
        <w:rPr>
          <w:rFonts w:ascii="Century Gothic" w:hAnsi="Century Gothic" w:cs="Arial"/>
          <w:sz w:val="20"/>
          <w:szCs w:val="20"/>
        </w:rPr>
        <w:t xml:space="preserve">)  et </w:t>
      </w:r>
      <w:proofErr w:type="spellStart"/>
      <w:r w:rsidRPr="00586FA5">
        <w:rPr>
          <w:rFonts w:ascii="Century Gothic" w:hAnsi="Century Gothic" w:cs="Arial"/>
          <w:sz w:val="20"/>
          <w:szCs w:val="20"/>
        </w:rPr>
        <w:t>Aminoacétonitrile</w:t>
      </w:r>
      <w:proofErr w:type="spellEnd"/>
      <w:r w:rsidRPr="00586FA5">
        <w:rPr>
          <w:rFonts w:ascii="Century Gothic" w:hAnsi="Century Gothic" w:cs="Arial"/>
          <w:sz w:val="20"/>
          <w:szCs w:val="20"/>
        </w:rPr>
        <w:t xml:space="preserve"> (H</w:t>
      </w:r>
      <w:r w:rsidRPr="00586FA5">
        <w:rPr>
          <w:rFonts w:ascii="Century Gothic" w:hAnsi="Century Gothic" w:cs="Arial"/>
          <w:sz w:val="20"/>
          <w:szCs w:val="20"/>
          <w:vertAlign w:val="sub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N-CH</w:t>
      </w:r>
      <w:r w:rsidRPr="00586FA5">
        <w:rPr>
          <w:rFonts w:ascii="Century Gothic" w:hAnsi="Century Gothic" w:cs="Arial"/>
          <w:sz w:val="20"/>
          <w:szCs w:val="20"/>
          <w:vertAlign w:val="subscript"/>
        </w:rPr>
        <w:t>2</w:t>
      </w:r>
      <w:r w:rsidRPr="00586FA5">
        <w:rPr>
          <w:rFonts w:ascii="Century Gothic" w:hAnsi="Century Gothic" w:cs="Arial"/>
          <w:sz w:val="20"/>
          <w:szCs w:val="20"/>
        </w:rPr>
        <w:t>CN).</w:t>
      </w:r>
      <w:r w:rsidR="00855552" w:rsidRPr="00586FA5">
        <w:rPr>
          <w:rFonts w:ascii="Century Gothic" w:hAnsi="Century Gothic" w:cs="Arial"/>
          <w:sz w:val="20"/>
          <w:szCs w:val="20"/>
        </w:rPr>
        <w:t xml:space="preserve"> </w:t>
      </w:r>
    </w:p>
    <w:p w:rsidR="00141E19" w:rsidRPr="00B358DC" w:rsidRDefault="008708B4" w:rsidP="005C5680">
      <w:pPr>
        <w:spacing w:line="240" w:lineRule="auto"/>
        <w:jc w:val="both"/>
        <w:rPr>
          <w:rFonts w:ascii="Century Gothic" w:hAnsi="Century Gothic" w:cs="Arial"/>
          <w:bCs/>
          <w:sz w:val="20"/>
          <w:szCs w:val="20"/>
          <w:shd w:val="clear" w:color="auto" w:fill="FFFFFF"/>
        </w:rPr>
      </w:pPr>
      <w:r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>La seconde partie de ce travail consiste au calcul ab-</w:t>
      </w:r>
      <w:proofErr w:type="spellStart"/>
      <w:r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>initio</w:t>
      </w:r>
      <w:proofErr w:type="spellEnd"/>
      <w:r w:rsidR="00E26FD2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de la chimie quantique à fin d’analyser les spectres et l'apparence de fragment énergies et les spectres d'absorption quantitative ainsi que les rendements quantiques de l’ionisation et le</w:t>
      </w:r>
      <w:r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calculs des états excités </w:t>
      </w:r>
      <w:r w:rsidR="00E26FD2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pour la </w:t>
      </w:r>
      <w:r w:rsidR="000776D1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>détermination</w:t>
      </w:r>
      <w:r w:rsidR="00E26FD2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d</w:t>
      </w:r>
      <w:r w:rsidR="00FF5A11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>es courbes d’énergies potentielle</w:t>
      </w:r>
      <w:r w:rsidR="00A726B1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et le calcul des constantes spectroscopiques</w:t>
      </w:r>
      <w:r w:rsidR="00141E19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et l’optimisation des géométries</w:t>
      </w:r>
      <w:r w:rsidR="0011133E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 xml:space="preserve"> pour l’interprétation des spectres</w:t>
      </w:r>
      <w:r w:rsidR="00A726B1" w:rsidRPr="00B358DC">
        <w:rPr>
          <w:rFonts w:ascii="Century Gothic" w:hAnsi="Century Gothic" w:cs="Arial"/>
          <w:bCs/>
          <w:sz w:val="20"/>
          <w:szCs w:val="20"/>
          <w:shd w:val="clear" w:color="auto" w:fill="FFFFFF"/>
        </w:rPr>
        <w:t>.</w:t>
      </w:r>
    </w:p>
    <w:p w:rsidR="00E166B8" w:rsidRPr="00586FA5" w:rsidRDefault="00E166B8" w:rsidP="005C5680">
      <w:pPr>
        <w:spacing w:line="240" w:lineRule="auto"/>
        <w:jc w:val="both"/>
        <w:rPr>
          <w:rFonts w:ascii="Century Gothic" w:hAnsi="Century Gothic" w:cs="Arial"/>
          <w:bCs/>
          <w:sz w:val="16"/>
          <w:szCs w:val="16"/>
          <w:shd w:val="clear" w:color="auto" w:fill="FFFFFF"/>
        </w:rPr>
      </w:pPr>
      <w:r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>[1</w:t>
      </w:r>
      <w:r w:rsidR="008045B1"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>]</w:t>
      </w:r>
      <w:r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 xml:space="preserve"> A.belloche</w:t>
      </w:r>
      <w:proofErr w:type="gramStart"/>
      <w:r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>,K.M.Menten,C.Comito,H.S.P.Muller</w:t>
      </w:r>
      <w:proofErr w:type="gramEnd"/>
      <w:r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>, P.Schilke,J.Ott,</w:t>
      </w:r>
      <w:r w:rsidR="006F58D8"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 xml:space="preserve"> S. Thorwirth</w:t>
      </w:r>
      <w:r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 xml:space="preserve"> </w:t>
      </w:r>
      <w:r w:rsidR="006F58D8" w:rsidRPr="00586FA5">
        <w:rPr>
          <w:rFonts w:ascii="Century Gothic" w:hAnsi="Century Gothic" w:cs="Arial"/>
          <w:bCs/>
          <w:sz w:val="16"/>
          <w:szCs w:val="16"/>
          <w:shd w:val="clear" w:color="auto" w:fill="FFFFFF"/>
        </w:rPr>
        <w:t>,C.Hieret, A&amp;A.482,179-196 (2008).</w:t>
      </w:r>
    </w:p>
    <w:p w:rsidR="00E166B8" w:rsidRPr="00586FA5" w:rsidRDefault="00E166B8" w:rsidP="005C5680">
      <w:pPr>
        <w:spacing w:line="240" w:lineRule="auto"/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  <w:r w:rsidRPr="00586FA5">
        <w:rPr>
          <w:rFonts w:ascii="Century Gothic" w:hAnsi="Century Gothic" w:cs="Arial"/>
          <w:sz w:val="16"/>
          <w:szCs w:val="16"/>
          <w:shd w:val="clear" w:color="auto" w:fill="FFFFFF"/>
        </w:rPr>
        <w:t>[2] Danger et al, 2011 Astrophys 535 (2011), A47, 1-9</w:t>
      </w:r>
      <w:r w:rsidR="004F6EB2" w:rsidRPr="00586FA5">
        <w:rPr>
          <w:rFonts w:ascii="Century Gothic" w:hAnsi="Century Gothic" w:cs="Arial"/>
          <w:sz w:val="16"/>
          <w:szCs w:val="16"/>
          <w:shd w:val="clear" w:color="auto" w:fill="FFFFFF"/>
        </w:rPr>
        <w:t>.</w:t>
      </w:r>
    </w:p>
    <w:p w:rsidR="000307E5" w:rsidRPr="00586FA5" w:rsidRDefault="0011133E" w:rsidP="005C56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  <w:r w:rsidRPr="00586FA5">
        <w:rPr>
          <w:rFonts w:ascii="Century Gothic" w:hAnsi="Century Gothic" w:cs="Arial"/>
          <w:bCs/>
          <w:sz w:val="16"/>
          <w:szCs w:val="16"/>
        </w:rPr>
        <w:t>[3</w:t>
      </w:r>
      <w:r w:rsidR="000307E5" w:rsidRPr="00586FA5">
        <w:rPr>
          <w:rFonts w:ascii="Century Gothic" w:hAnsi="Century Gothic" w:cs="Arial"/>
          <w:bCs/>
          <w:sz w:val="16"/>
          <w:szCs w:val="16"/>
        </w:rPr>
        <w:t>]</w:t>
      </w:r>
      <w:r w:rsidR="000307E5" w:rsidRPr="00586FA5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0307E5" w:rsidRPr="00586FA5">
        <w:rPr>
          <w:rFonts w:ascii="Century Gothic" w:hAnsi="Century Gothic" w:cs="Arial"/>
          <w:sz w:val="16"/>
          <w:szCs w:val="16"/>
        </w:rPr>
        <w:t>J.C. Poully, J.P. Schermann, N. Nieuwjaer, F. Lecomte, G. Grégoire, C. Desfrançois, G. A. Garcia, L. Nahon, D. Nandi, L.Poisson and M. Hochlaf, Phys Chem Chem Phys. 12 (2010) 3566.</w:t>
      </w:r>
    </w:p>
    <w:sectPr w:rsidR="000307E5" w:rsidRPr="0058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6BC"/>
    <w:multiLevelType w:val="hybridMultilevel"/>
    <w:tmpl w:val="FB384D56"/>
    <w:lvl w:ilvl="0" w:tplc="002C0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F8"/>
    <w:rsid w:val="000307E5"/>
    <w:rsid w:val="00032716"/>
    <w:rsid w:val="00043C8D"/>
    <w:rsid w:val="00044B52"/>
    <w:rsid w:val="000776D1"/>
    <w:rsid w:val="000B4504"/>
    <w:rsid w:val="0011133E"/>
    <w:rsid w:val="00125421"/>
    <w:rsid w:val="001346AE"/>
    <w:rsid w:val="00141E19"/>
    <w:rsid w:val="001C5566"/>
    <w:rsid w:val="0022371A"/>
    <w:rsid w:val="00230B36"/>
    <w:rsid w:val="00364260"/>
    <w:rsid w:val="003935B4"/>
    <w:rsid w:val="003E7407"/>
    <w:rsid w:val="00441BFD"/>
    <w:rsid w:val="004D3D90"/>
    <w:rsid w:val="004F6EB2"/>
    <w:rsid w:val="00500D09"/>
    <w:rsid w:val="00510762"/>
    <w:rsid w:val="00530979"/>
    <w:rsid w:val="00586FA5"/>
    <w:rsid w:val="005C5680"/>
    <w:rsid w:val="005F274B"/>
    <w:rsid w:val="005F675C"/>
    <w:rsid w:val="00692EF8"/>
    <w:rsid w:val="00695D24"/>
    <w:rsid w:val="006C0141"/>
    <w:rsid w:val="006C1247"/>
    <w:rsid w:val="006F58D8"/>
    <w:rsid w:val="007074F4"/>
    <w:rsid w:val="007E1FDA"/>
    <w:rsid w:val="008045B1"/>
    <w:rsid w:val="00806DED"/>
    <w:rsid w:val="00840AF8"/>
    <w:rsid w:val="00855552"/>
    <w:rsid w:val="008708B4"/>
    <w:rsid w:val="00874112"/>
    <w:rsid w:val="008B56CB"/>
    <w:rsid w:val="008D4D2B"/>
    <w:rsid w:val="008F7DAA"/>
    <w:rsid w:val="00902DBD"/>
    <w:rsid w:val="00924580"/>
    <w:rsid w:val="00962F50"/>
    <w:rsid w:val="00994851"/>
    <w:rsid w:val="009A5426"/>
    <w:rsid w:val="009B5190"/>
    <w:rsid w:val="009F7834"/>
    <w:rsid w:val="00A22075"/>
    <w:rsid w:val="00A40037"/>
    <w:rsid w:val="00A726B1"/>
    <w:rsid w:val="00AB3A3B"/>
    <w:rsid w:val="00B358DC"/>
    <w:rsid w:val="00B9453C"/>
    <w:rsid w:val="00BE02A5"/>
    <w:rsid w:val="00BE4C7B"/>
    <w:rsid w:val="00CE3D49"/>
    <w:rsid w:val="00D06C16"/>
    <w:rsid w:val="00D66F6D"/>
    <w:rsid w:val="00DA18A6"/>
    <w:rsid w:val="00DF0722"/>
    <w:rsid w:val="00E166B8"/>
    <w:rsid w:val="00E26FD2"/>
    <w:rsid w:val="00E82515"/>
    <w:rsid w:val="00EA06C0"/>
    <w:rsid w:val="00EA17B5"/>
    <w:rsid w:val="00EB02B8"/>
    <w:rsid w:val="00F404A7"/>
    <w:rsid w:val="00F84930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62F50"/>
    <w:rPr>
      <w:i/>
      <w:iCs/>
    </w:rPr>
  </w:style>
  <w:style w:type="character" w:customStyle="1" w:styleId="apple-converted-space">
    <w:name w:val="apple-converted-space"/>
    <w:basedOn w:val="Policepardfaut"/>
    <w:rsid w:val="00962F50"/>
  </w:style>
  <w:style w:type="paragraph" w:styleId="Textedebulles">
    <w:name w:val="Balloon Text"/>
    <w:basedOn w:val="Normal"/>
    <w:link w:val="TextedebullesCar"/>
    <w:uiPriority w:val="99"/>
    <w:semiHidden/>
    <w:unhideWhenUsed/>
    <w:rsid w:val="0085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0B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50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B4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62F50"/>
    <w:rPr>
      <w:i/>
      <w:iCs/>
    </w:rPr>
  </w:style>
  <w:style w:type="character" w:customStyle="1" w:styleId="apple-converted-space">
    <w:name w:val="apple-converted-space"/>
    <w:basedOn w:val="Policepardfaut"/>
    <w:rsid w:val="00962F50"/>
  </w:style>
  <w:style w:type="paragraph" w:styleId="Textedebulles">
    <w:name w:val="Balloon Text"/>
    <w:basedOn w:val="Normal"/>
    <w:link w:val="TextedebullesCar"/>
    <w:uiPriority w:val="99"/>
    <w:semiHidden/>
    <w:unhideWhenUsed/>
    <w:rsid w:val="0085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0B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50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B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ayad.bellili</dc:creator>
  <cp:lastModifiedBy>ayad.bellili</cp:lastModifiedBy>
  <cp:revision>19</cp:revision>
  <dcterms:created xsi:type="dcterms:W3CDTF">2014-03-25T09:43:00Z</dcterms:created>
  <dcterms:modified xsi:type="dcterms:W3CDTF">2014-05-30T15:41:00Z</dcterms:modified>
</cp:coreProperties>
</file>